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A1" w:rsidRDefault="001833A1" w:rsidP="001833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5F3AB728" wp14:editId="6A917310">
            <wp:extent cx="760020" cy="935793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bier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8" cy="9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A1" w:rsidRDefault="001833A1" w:rsidP="001833A1">
      <w:pPr>
        <w:jc w:val="center"/>
        <w:rPr>
          <w:rFonts w:ascii="Arial" w:hAnsi="Arial" w:cs="Arial"/>
          <w:b/>
          <w:sz w:val="24"/>
          <w:szCs w:val="24"/>
        </w:rPr>
      </w:pPr>
      <w:r w:rsidRPr="00A465DA">
        <w:rPr>
          <w:rFonts w:ascii="Arial" w:hAnsi="Arial" w:cs="Arial"/>
          <w:b/>
          <w:sz w:val="24"/>
          <w:szCs w:val="24"/>
        </w:rPr>
        <w:t xml:space="preserve">INFORME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833A1" w:rsidRPr="00A465DA" w:rsidTr="004952FD">
        <w:tc>
          <w:tcPr>
            <w:tcW w:w="2207" w:type="dxa"/>
            <w:shd w:val="clear" w:color="auto" w:fill="C9C9C9" w:themeFill="accent3" w:themeFillTint="99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2207" w:type="dxa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5DA">
              <w:rPr>
                <w:rFonts w:ascii="Arial" w:hAnsi="Arial" w:cs="Arial"/>
                <w:sz w:val="24"/>
                <w:szCs w:val="24"/>
              </w:rPr>
              <w:t>Turismo Municipal</w:t>
            </w:r>
          </w:p>
        </w:tc>
        <w:tc>
          <w:tcPr>
            <w:tcW w:w="2207" w:type="dxa"/>
            <w:shd w:val="clear" w:color="auto" w:fill="C9C9C9" w:themeFill="accent3" w:themeFillTint="99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07" w:type="dxa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Enero- Marzo 2019</w:t>
            </w:r>
          </w:p>
        </w:tc>
      </w:tr>
    </w:tbl>
    <w:tbl>
      <w:tblPr>
        <w:tblStyle w:val="Tablaconcuadrcu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3A1" w:rsidTr="004952FD">
        <w:tc>
          <w:tcPr>
            <w:tcW w:w="8828" w:type="dxa"/>
          </w:tcPr>
          <w:p w:rsidR="001833A1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33A1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AE">
              <w:rPr>
                <w:rFonts w:ascii="Arial" w:hAnsi="Arial" w:cs="Arial"/>
                <w:sz w:val="24"/>
                <w:szCs w:val="24"/>
              </w:rPr>
              <w:t>La intención del presente informe es dar a conocer el desarrollo de las actividades realizadas por la Dirección de Turismo, para los fines que mejor convengan.</w:t>
            </w:r>
          </w:p>
          <w:p w:rsidR="001833A1" w:rsidRPr="00184FAE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3A1" w:rsidTr="004952FD">
        <w:trPr>
          <w:trHeight w:val="237"/>
        </w:trPr>
        <w:tc>
          <w:tcPr>
            <w:tcW w:w="8828" w:type="dxa"/>
            <w:shd w:val="clear" w:color="auto" w:fill="C9C9C9" w:themeFill="accent3" w:themeFillTint="99"/>
          </w:tcPr>
          <w:p w:rsidR="001833A1" w:rsidRPr="00184FAE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FA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1833A1" w:rsidTr="004952FD">
        <w:trPr>
          <w:trHeight w:val="5798"/>
        </w:trPr>
        <w:tc>
          <w:tcPr>
            <w:tcW w:w="8828" w:type="dxa"/>
          </w:tcPr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rPr>
                <w:sz w:val="24"/>
                <w:szCs w:val="24"/>
              </w:rPr>
            </w:pPr>
          </w:p>
          <w:p w:rsidR="001833A1" w:rsidRPr="00B718A4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Organización, planeación y logística del primer Festival del Ostión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 2019.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Preparativos, logística y planeación de la inauguración del Museo de Historia, Arte y Cultura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Cooperación y apoyo al Consejo Promotor de la Raicilla AC, para la promoción a la denominación de origen de la raicilla.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y trabajo conjunto con la diputada Mariana Fernández.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 de trabajo con el Secretario de Turismo en Costa Careyes, para la cooperación y aporte para el desarrollo de la COSTALEGRE.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Capacitación a prestadores de servicios turísticos de la localidad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trabajo  con hoteleros y restauranteros de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, Villa del Mar e </w:t>
            </w:r>
            <w:proofErr w:type="spellStart"/>
            <w:r>
              <w:rPr>
                <w:sz w:val="24"/>
                <w:szCs w:val="24"/>
              </w:rPr>
              <w:t>Ipala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reconocimiento y clausura de capacitaciones a prestadores de servicios turísticos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Inauguración de Museo de Historia, Arte y Cultura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Pr="00D74940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Festival del Ostión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 2019.</w:t>
            </w: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rPr>
                <w:sz w:val="24"/>
                <w:szCs w:val="24"/>
              </w:rPr>
            </w:pPr>
          </w:p>
        </w:tc>
      </w:tr>
    </w:tbl>
    <w:p w:rsidR="001833A1" w:rsidRDefault="001833A1" w:rsidP="001833A1">
      <w:pPr>
        <w:rPr>
          <w:sz w:val="24"/>
          <w:szCs w:val="24"/>
        </w:rPr>
      </w:pPr>
    </w:p>
    <w:p w:rsidR="001833A1" w:rsidRDefault="001833A1" w:rsidP="001833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lastRenderedPageBreak/>
        <w:drawing>
          <wp:inline distT="0" distB="0" distL="0" distR="0" wp14:anchorId="68F81E7A" wp14:editId="11B61D38">
            <wp:extent cx="760020" cy="935793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bier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8" cy="9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A1" w:rsidRDefault="001833A1" w:rsidP="001833A1">
      <w:pPr>
        <w:jc w:val="center"/>
        <w:rPr>
          <w:rFonts w:ascii="Arial" w:hAnsi="Arial" w:cs="Arial"/>
          <w:b/>
          <w:sz w:val="24"/>
          <w:szCs w:val="24"/>
        </w:rPr>
      </w:pPr>
      <w:r w:rsidRPr="00A465DA">
        <w:rPr>
          <w:rFonts w:ascii="Arial" w:hAnsi="Arial" w:cs="Arial"/>
          <w:b/>
          <w:sz w:val="24"/>
          <w:szCs w:val="24"/>
        </w:rPr>
        <w:t xml:space="preserve">INFORME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833A1" w:rsidRPr="00A465DA" w:rsidTr="004952FD">
        <w:tc>
          <w:tcPr>
            <w:tcW w:w="2207" w:type="dxa"/>
            <w:shd w:val="clear" w:color="auto" w:fill="C9C9C9" w:themeFill="accent3" w:themeFillTint="99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2207" w:type="dxa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5DA">
              <w:rPr>
                <w:rFonts w:ascii="Arial" w:hAnsi="Arial" w:cs="Arial"/>
                <w:sz w:val="24"/>
                <w:szCs w:val="24"/>
              </w:rPr>
              <w:t>Turismo Municipal</w:t>
            </w:r>
          </w:p>
        </w:tc>
        <w:tc>
          <w:tcPr>
            <w:tcW w:w="2207" w:type="dxa"/>
            <w:shd w:val="clear" w:color="auto" w:fill="C9C9C9" w:themeFill="accent3" w:themeFillTint="99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07" w:type="dxa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 – Junio 2019</w:t>
            </w:r>
          </w:p>
        </w:tc>
      </w:tr>
    </w:tbl>
    <w:tbl>
      <w:tblPr>
        <w:tblStyle w:val="Tablaconcuadrcu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3A1" w:rsidTr="004952FD">
        <w:tc>
          <w:tcPr>
            <w:tcW w:w="8828" w:type="dxa"/>
          </w:tcPr>
          <w:p w:rsidR="001833A1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33A1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AE">
              <w:rPr>
                <w:rFonts w:ascii="Arial" w:hAnsi="Arial" w:cs="Arial"/>
                <w:sz w:val="24"/>
                <w:szCs w:val="24"/>
              </w:rPr>
              <w:t>La intención del presente informe es dar a conocer el desarrollo de las actividades realizadas por la Dirección de Turismo, para los fines que mejor convengan.</w:t>
            </w:r>
          </w:p>
          <w:p w:rsidR="001833A1" w:rsidRPr="00184FAE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3A1" w:rsidTr="004952FD">
        <w:trPr>
          <w:trHeight w:val="237"/>
        </w:trPr>
        <w:tc>
          <w:tcPr>
            <w:tcW w:w="8828" w:type="dxa"/>
            <w:shd w:val="clear" w:color="auto" w:fill="C9C9C9" w:themeFill="accent3" w:themeFillTint="99"/>
          </w:tcPr>
          <w:p w:rsidR="001833A1" w:rsidRPr="00184FAE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FA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1833A1" w:rsidTr="004952FD">
        <w:trPr>
          <w:trHeight w:val="5798"/>
        </w:trPr>
        <w:tc>
          <w:tcPr>
            <w:tcW w:w="8828" w:type="dxa"/>
          </w:tcPr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rPr>
                <w:sz w:val="24"/>
                <w:szCs w:val="24"/>
              </w:rPr>
            </w:pPr>
          </w:p>
          <w:p w:rsidR="001833A1" w:rsidRPr="00B718A4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Organización, planeación y logística del primer Festival del Ostión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 2019.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y trabajo conjunto para la organización y proyecto del primer Festival de la Raicilla Cabo Corrientes 2020.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y planeación del proyecto “Mercadito”.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y cooperación en la inauguración de la “Universidad de la Paz”.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trimestral con prestadores de servicios turísticos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trabajo para la elaboración de proyectos de apoyo con la SECTUR Jalisco.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trabajo con hoteleros y restauranteros de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, Villa del Mar e </w:t>
            </w:r>
            <w:proofErr w:type="spellStart"/>
            <w:r>
              <w:rPr>
                <w:sz w:val="24"/>
                <w:szCs w:val="24"/>
              </w:rPr>
              <w:t>Ipala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Integración para el Plan de Desarrollo Municipal y Gobernanza, aporte en el área económica y Turística.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medios de comunicación locales de Puerto Vallarta para estrategias y difusión de nuestros destinos turísticos.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Consejo Mexicano promotor de la Raicilla para la entrega de la denominación de origen de la Raicilla.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Acompañamiento a </w:t>
            </w:r>
            <w:proofErr w:type="spellStart"/>
            <w:r>
              <w:rPr>
                <w:sz w:val="24"/>
                <w:szCs w:val="24"/>
              </w:rPr>
              <w:t>Raicilleros</w:t>
            </w:r>
            <w:proofErr w:type="spellEnd"/>
            <w:r>
              <w:rPr>
                <w:sz w:val="24"/>
                <w:szCs w:val="24"/>
              </w:rPr>
              <w:t xml:space="preserve"> para asistencia a la entrega de la Denominación de origen de la Raicilla en la Ciudad de Guadalajara.</w:t>
            </w:r>
          </w:p>
          <w:p w:rsidR="001833A1" w:rsidRDefault="001833A1" w:rsidP="004952FD">
            <w:pPr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rPr>
                <w:sz w:val="24"/>
                <w:szCs w:val="24"/>
              </w:rPr>
            </w:pPr>
          </w:p>
        </w:tc>
      </w:tr>
    </w:tbl>
    <w:p w:rsidR="001833A1" w:rsidRDefault="001833A1" w:rsidP="001833A1">
      <w:pPr>
        <w:jc w:val="center"/>
        <w:rPr>
          <w:sz w:val="24"/>
          <w:szCs w:val="24"/>
        </w:rPr>
      </w:pPr>
    </w:p>
    <w:p w:rsidR="001833A1" w:rsidRDefault="001833A1" w:rsidP="001833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lastRenderedPageBreak/>
        <w:drawing>
          <wp:inline distT="0" distB="0" distL="0" distR="0" wp14:anchorId="128B9A3B" wp14:editId="10A87558">
            <wp:extent cx="760020" cy="935793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bier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8" cy="9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A1" w:rsidRDefault="001833A1" w:rsidP="001833A1">
      <w:pPr>
        <w:jc w:val="center"/>
        <w:rPr>
          <w:rFonts w:ascii="Arial" w:hAnsi="Arial" w:cs="Arial"/>
          <w:b/>
          <w:sz w:val="24"/>
          <w:szCs w:val="24"/>
        </w:rPr>
      </w:pPr>
      <w:r w:rsidRPr="00A465DA">
        <w:rPr>
          <w:rFonts w:ascii="Arial" w:hAnsi="Arial" w:cs="Arial"/>
          <w:b/>
          <w:sz w:val="24"/>
          <w:szCs w:val="24"/>
        </w:rPr>
        <w:t xml:space="preserve">INFORME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833A1" w:rsidRPr="00A465DA" w:rsidTr="004952FD">
        <w:tc>
          <w:tcPr>
            <w:tcW w:w="2207" w:type="dxa"/>
            <w:shd w:val="clear" w:color="auto" w:fill="C9C9C9" w:themeFill="accent3" w:themeFillTint="99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2207" w:type="dxa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5DA">
              <w:rPr>
                <w:rFonts w:ascii="Arial" w:hAnsi="Arial" w:cs="Arial"/>
                <w:sz w:val="24"/>
                <w:szCs w:val="24"/>
              </w:rPr>
              <w:t>Turismo Municipal</w:t>
            </w:r>
          </w:p>
        </w:tc>
        <w:tc>
          <w:tcPr>
            <w:tcW w:w="2207" w:type="dxa"/>
            <w:shd w:val="clear" w:color="auto" w:fill="C9C9C9" w:themeFill="accent3" w:themeFillTint="99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07" w:type="dxa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– Septiembre 2019</w:t>
            </w:r>
          </w:p>
        </w:tc>
      </w:tr>
    </w:tbl>
    <w:tbl>
      <w:tblPr>
        <w:tblStyle w:val="Tablaconcuadrcu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3A1" w:rsidTr="004952FD">
        <w:tc>
          <w:tcPr>
            <w:tcW w:w="8828" w:type="dxa"/>
          </w:tcPr>
          <w:p w:rsidR="001833A1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33A1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AE">
              <w:rPr>
                <w:rFonts w:ascii="Arial" w:hAnsi="Arial" w:cs="Arial"/>
                <w:sz w:val="24"/>
                <w:szCs w:val="24"/>
              </w:rPr>
              <w:t>La intención del presente informe es dar a conocer el desarrollo de las actividades realizadas por la Dirección de Turismo, para los fines que mejor convengan.</w:t>
            </w:r>
          </w:p>
          <w:p w:rsidR="001833A1" w:rsidRPr="00184FAE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3A1" w:rsidTr="004952FD">
        <w:trPr>
          <w:trHeight w:val="237"/>
        </w:trPr>
        <w:tc>
          <w:tcPr>
            <w:tcW w:w="8828" w:type="dxa"/>
            <w:shd w:val="clear" w:color="auto" w:fill="C9C9C9" w:themeFill="accent3" w:themeFillTint="99"/>
          </w:tcPr>
          <w:p w:rsidR="001833A1" w:rsidRPr="00184FAE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FA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1833A1" w:rsidTr="004952FD">
        <w:trPr>
          <w:trHeight w:val="5798"/>
        </w:trPr>
        <w:tc>
          <w:tcPr>
            <w:tcW w:w="8828" w:type="dxa"/>
          </w:tcPr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rPr>
                <w:sz w:val="24"/>
                <w:szCs w:val="24"/>
              </w:rPr>
            </w:pP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Organización, elaboración y presentación de proyecto turístico religioso para apoyo económico de parte de la SECTUR Jalisco.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trimestral con prestadores de servicios turísticos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Pr="00955ACA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Publicidad de atractivos y eventos en medios locales y regionales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trabajo con Director de Turismo Religioso de la SECTUR JALISCO.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trabajo y organización del 2do Torneo de Pesca de Orilla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 2019.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trabajo y socialización de Torne de Pesca de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 con prestadores de servicios turísticos de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, Villa del Mar e </w:t>
            </w:r>
            <w:proofErr w:type="spellStart"/>
            <w:r>
              <w:rPr>
                <w:sz w:val="24"/>
                <w:szCs w:val="24"/>
              </w:rPr>
              <w:t>Ipala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en la logística del primer informe de gobierno.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Inventario de daños a comerciantes, restauranteros y negocios de la zona turística afectados por huracanes “Lorena” y “</w:t>
            </w:r>
            <w:proofErr w:type="spellStart"/>
            <w:r>
              <w:rPr>
                <w:sz w:val="24"/>
                <w:szCs w:val="24"/>
              </w:rPr>
              <w:t>Narda</w:t>
            </w:r>
            <w:proofErr w:type="spellEnd"/>
            <w:r>
              <w:rPr>
                <w:sz w:val="24"/>
                <w:szCs w:val="24"/>
              </w:rPr>
              <w:t>”.</w:t>
            </w:r>
          </w:p>
          <w:p w:rsidR="001833A1" w:rsidRDefault="001833A1" w:rsidP="004952FD">
            <w:pPr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rPr>
                <w:sz w:val="24"/>
                <w:szCs w:val="24"/>
              </w:rPr>
            </w:pPr>
          </w:p>
        </w:tc>
      </w:tr>
    </w:tbl>
    <w:p w:rsidR="001833A1" w:rsidRDefault="001833A1" w:rsidP="001833A1"/>
    <w:p w:rsidR="001833A1" w:rsidRDefault="001833A1" w:rsidP="001833A1"/>
    <w:p w:rsidR="001833A1" w:rsidRDefault="001833A1" w:rsidP="001833A1"/>
    <w:p w:rsidR="001833A1" w:rsidRDefault="001833A1" w:rsidP="001833A1"/>
    <w:p w:rsidR="001833A1" w:rsidRDefault="001833A1" w:rsidP="001833A1"/>
    <w:p w:rsidR="001833A1" w:rsidRDefault="001833A1" w:rsidP="001833A1"/>
    <w:p w:rsidR="001833A1" w:rsidRDefault="001833A1" w:rsidP="001833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lastRenderedPageBreak/>
        <w:drawing>
          <wp:inline distT="0" distB="0" distL="0" distR="0" wp14:anchorId="29AA7561" wp14:editId="0B65DDDD">
            <wp:extent cx="760020" cy="935793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bier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8" cy="9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A1" w:rsidRDefault="001833A1" w:rsidP="001833A1">
      <w:pPr>
        <w:jc w:val="center"/>
        <w:rPr>
          <w:rFonts w:ascii="Arial" w:hAnsi="Arial" w:cs="Arial"/>
          <w:b/>
          <w:sz w:val="24"/>
          <w:szCs w:val="24"/>
        </w:rPr>
      </w:pPr>
      <w:r w:rsidRPr="00A465DA">
        <w:rPr>
          <w:rFonts w:ascii="Arial" w:hAnsi="Arial" w:cs="Arial"/>
          <w:b/>
          <w:sz w:val="24"/>
          <w:szCs w:val="24"/>
        </w:rPr>
        <w:t xml:space="preserve">INFORME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833A1" w:rsidRPr="00A465DA" w:rsidTr="004952FD">
        <w:tc>
          <w:tcPr>
            <w:tcW w:w="2207" w:type="dxa"/>
            <w:shd w:val="clear" w:color="auto" w:fill="C9C9C9" w:themeFill="accent3" w:themeFillTint="99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2207" w:type="dxa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5DA">
              <w:rPr>
                <w:rFonts w:ascii="Arial" w:hAnsi="Arial" w:cs="Arial"/>
                <w:sz w:val="24"/>
                <w:szCs w:val="24"/>
              </w:rPr>
              <w:t>Turismo Municipal</w:t>
            </w:r>
          </w:p>
        </w:tc>
        <w:tc>
          <w:tcPr>
            <w:tcW w:w="2207" w:type="dxa"/>
            <w:shd w:val="clear" w:color="auto" w:fill="C9C9C9" w:themeFill="accent3" w:themeFillTint="99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07" w:type="dxa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-Diciembre 2019</w:t>
            </w:r>
          </w:p>
        </w:tc>
      </w:tr>
    </w:tbl>
    <w:tbl>
      <w:tblPr>
        <w:tblStyle w:val="Tablaconcuadrcu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3A1" w:rsidTr="004952FD">
        <w:tc>
          <w:tcPr>
            <w:tcW w:w="8828" w:type="dxa"/>
          </w:tcPr>
          <w:p w:rsidR="001833A1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33A1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AE">
              <w:rPr>
                <w:rFonts w:ascii="Arial" w:hAnsi="Arial" w:cs="Arial"/>
                <w:sz w:val="24"/>
                <w:szCs w:val="24"/>
              </w:rPr>
              <w:t>La intención del presente informe es dar a conocer el desarrollo de las actividades realizadas por la Dirección de Turismo, para los fines que mejor convengan.</w:t>
            </w:r>
          </w:p>
          <w:p w:rsidR="001833A1" w:rsidRPr="00184FAE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3A1" w:rsidTr="004952FD">
        <w:trPr>
          <w:trHeight w:val="237"/>
        </w:trPr>
        <w:tc>
          <w:tcPr>
            <w:tcW w:w="8828" w:type="dxa"/>
            <w:shd w:val="clear" w:color="auto" w:fill="C9C9C9" w:themeFill="accent3" w:themeFillTint="99"/>
          </w:tcPr>
          <w:p w:rsidR="001833A1" w:rsidRPr="00184FAE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FA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1833A1" w:rsidTr="004952FD">
        <w:trPr>
          <w:trHeight w:val="5798"/>
        </w:trPr>
        <w:tc>
          <w:tcPr>
            <w:tcW w:w="8828" w:type="dxa"/>
          </w:tcPr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1833A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conjunto con el sector privador (Vallarta </w:t>
            </w:r>
            <w:proofErr w:type="spellStart"/>
            <w:r>
              <w:rPr>
                <w:sz w:val="24"/>
                <w:szCs w:val="24"/>
              </w:rPr>
              <w:t>Adventure</w:t>
            </w:r>
            <w:proofErr w:type="spellEnd"/>
            <w:r>
              <w:rPr>
                <w:sz w:val="24"/>
                <w:szCs w:val="24"/>
              </w:rPr>
              <w:t xml:space="preserve"> &amp; Cruceros Beach </w:t>
            </w:r>
            <w:proofErr w:type="spellStart"/>
            <w:r>
              <w:rPr>
                <w:sz w:val="24"/>
                <w:szCs w:val="24"/>
              </w:rPr>
              <w:t>Boy</w:t>
            </w:r>
            <w:proofErr w:type="spellEnd"/>
            <w:r>
              <w:rPr>
                <w:sz w:val="24"/>
                <w:szCs w:val="24"/>
              </w:rPr>
              <w:t xml:space="preserve">, a través de la AC “Bahía Unida “se rehabilito el camino a la cascada; uno de los principales atractivos turísticos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4952FD">
            <w:pPr>
              <w:pStyle w:val="Prrafodelista"/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15"/>
              <w:gridCol w:w="1570"/>
            </w:tblGrid>
            <w:tr w:rsidR="001833A1" w:rsidTr="004952FD">
              <w:trPr>
                <w:jc w:val="center"/>
              </w:trPr>
              <w:tc>
                <w:tcPr>
                  <w:tcW w:w="3415" w:type="dxa"/>
                </w:tcPr>
                <w:p w:rsidR="001833A1" w:rsidRDefault="001833A1" w:rsidP="004952FD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CONTRIBUCION </w:t>
                  </w:r>
                </w:p>
              </w:tc>
              <w:tc>
                <w:tcPr>
                  <w:tcW w:w="1570" w:type="dxa"/>
                </w:tcPr>
                <w:p w:rsidR="001833A1" w:rsidRDefault="001833A1" w:rsidP="004952FD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CANTIDAD</w:t>
                  </w:r>
                </w:p>
              </w:tc>
            </w:tr>
            <w:tr w:rsidR="001833A1" w:rsidTr="004952FD">
              <w:trPr>
                <w:jc w:val="center"/>
              </w:trPr>
              <w:tc>
                <w:tcPr>
                  <w:tcW w:w="3415" w:type="dxa"/>
                </w:tcPr>
                <w:p w:rsidR="001833A1" w:rsidRDefault="001833A1" w:rsidP="004952FD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Comunidad Indígena de Chacala</w:t>
                  </w:r>
                </w:p>
              </w:tc>
              <w:tc>
                <w:tcPr>
                  <w:tcW w:w="1570" w:type="dxa"/>
                </w:tcPr>
                <w:p w:rsidR="001833A1" w:rsidRDefault="001833A1" w:rsidP="004952FD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$69,621.34</w:t>
                  </w:r>
                </w:p>
              </w:tc>
            </w:tr>
            <w:tr w:rsidR="001833A1" w:rsidTr="004952FD">
              <w:trPr>
                <w:jc w:val="center"/>
              </w:trPr>
              <w:tc>
                <w:tcPr>
                  <w:tcW w:w="3415" w:type="dxa"/>
                </w:tcPr>
                <w:p w:rsidR="001833A1" w:rsidRDefault="001833A1" w:rsidP="004952FD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Municipio de Cabo Corrientes</w:t>
                  </w:r>
                </w:p>
              </w:tc>
              <w:tc>
                <w:tcPr>
                  <w:tcW w:w="1570" w:type="dxa"/>
                </w:tcPr>
                <w:p w:rsidR="001833A1" w:rsidRDefault="001833A1" w:rsidP="004952FD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$83,525.12</w:t>
                  </w:r>
                </w:p>
              </w:tc>
            </w:tr>
            <w:tr w:rsidR="001833A1" w:rsidTr="004952FD">
              <w:trPr>
                <w:jc w:val="center"/>
              </w:trPr>
              <w:tc>
                <w:tcPr>
                  <w:tcW w:w="3415" w:type="dxa"/>
                </w:tcPr>
                <w:p w:rsidR="001833A1" w:rsidRDefault="001833A1" w:rsidP="004952FD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Bahía Unida AC</w:t>
                  </w:r>
                </w:p>
              </w:tc>
              <w:tc>
                <w:tcPr>
                  <w:tcW w:w="1570" w:type="dxa"/>
                </w:tcPr>
                <w:p w:rsidR="001833A1" w:rsidRDefault="001833A1" w:rsidP="004952FD">
                  <w:pPr>
                    <w:pStyle w:val="Prrafodelista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$79,503.21</w:t>
                  </w:r>
                </w:p>
              </w:tc>
            </w:tr>
          </w:tbl>
          <w:p w:rsidR="001833A1" w:rsidRDefault="001833A1" w:rsidP="004952FD">
            <w:pPr>
              <w:jc w:val="both"/>
              <w:rPr>
                <w:sz w:val="24"/>
                <w:szCs w:val="24"/>
              </w:rPr>
            </w:pPr>
          </w:p>
          <w:p w:rsidR="001833A1" w:rsidRDefault="001833A1" w:rsidP="001833A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Después de un levantamiento de daños en conjunto con promoción económica, de la tormenta tropical “</w:t>
            </w:r>
            <w:proofErr w:type="spellStart"/>
            <w:r>
              <w:rPr>
                <w:sz w:val="24"/>
                <w:szCs w:val="24"/>
              </w:rPr>
              <w:t>Narda</w:t>
            </w:r>
            <w:proofErr w:type="spellEnd"/>
            <w:r>
              <w:rPr>
                <w:sz w:val="24"/>
                <w:szCs w:val="24"/>
              </w:rPr>
              <w:t xml:space="preserve">” que afectó principalmente en la costa del municipio, a través del Gobierno del Estado; se hizo entrega a un total de 32 restaurantes  y pequeños comercios de un apoyo económico por un total de $1, 995,000.00. </w:t>
            </w:r>
          </w:p>
          <w:p w:rsidR="001833A1" w:rsidRDefault="001833A1" w:rsidP="004952FD">
            <w:pPr>
              <w:pStyle w:val="Prrafodelista"/>
              <w:ind w:left="1440"/>
              <w:jc w:val="both"/>
              <w:rPr>
                <w:sz w:val="24"/>
                <w:szCs w:val="24"/>
              </w:rPr>
            </w:pPr>
          </w:p>
          <w:p w:rsidR="001833A1" w:rsidRDefault="001833A1" w:rsidP="001833A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Gracias a las gestiones e invitaciones a las principales medios impresos, invitamos a la revista “Vallarta </w:t>
            </w:r>
            <w:proofErr w:type="spellStart"/>
            <w:r>
              <w:rPr>
                <w:sz w:val="24"/>
                <w:szCs w:val="24"/>
              </w:rPr>
              <w:t>Lifestyles</w:t>
            </w:r>
            <w:proofErr w:type="spellEnd"/>
            <w:r>
              <w:rPr>
                <w:sz w:val="24"/>
                <w:szCs w:val="24"/>
              </w:rPr>
              <w:t xml:space="preserve">” para escribir un reportaje especial de El </w:t>
            </w:r>
            <w:proofErr w:type="spellStart"/>
            <w:r>
              <w:rPr>
                <w:sz w:val="24"/>
                <w:szCs w:val="24"/>
              </w:rPr>
              <w:t>Tuito</w:t>
            </w:r>
            <w:proofErr w:type="spellEnd"/>
            <w:r>
              <w:rPr>
                <w:sz w:val="24"/>
                <w:szCs w:val="24"/>
              </w:rPr>
              <w:t>, dicha revista tiene un tiraje de 10,000 ejemplares distribuidas en Puerto Vallarta y Riviera Nayarit, en hoteles, restaurantes, aeropuerto y agencias de bienes y raíces.</w:t>
            </w:r>
          </w:p>
          <w:p w:rsidR="001833A1" w:rsidRDefault="001833A1" w:rsidP="004952FD">
            <w:pPr>
              <w:jc w:val="both"/>
              <w:rPr>
                <w:sz w:val="24"/>
                <w:szCs w:val="24"/>
              </w:rPr>
            </w:pPr>
          </w:p>
          <w:p w:rsidR="001833A1" w:rsidRPr="0015577F" w:rsidRDefault="001833A1" w:rsidP="001833A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Fideicomiso de Turismo de la </w:t>
            </w:r>
            <w:proofErr w:type="spellStart"/>
            <w:r>
              <w:rPr>
                <w:sz w:val="24"/>
                <w:szCs w:val="24"/>
              </w:rPr>
              <w:t>Costalegre</w:t>
            </w:r>
            <w:proofErr w:type="spellEnd"/>
            <w:r>
              <w:rPr>
                <w:sz w:val="24"/>
                <w:szCs w:val="24"/>
              </w:rPr>
              <w:t xml:space="preserve"> y SECTUR Jalisco, inicia campaña de publicidad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 xml:space="preserve"> y el destino en radio y televisión del centro y bajío de México, en apoyo después de las afectaciones por la tormenta tropical </w:t>
            </w:r>
            <w:proofErr w:type="spellStart"/>
            <w:r>
              <w:rPr>
                <w:sz w:val="24"/>
                <w:szCs w:val="24"/>
              </w:rPr>
              <w:t>Narda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1833A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2da Edición del Torneo de Pesca de Orilla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 2019, con 272 participantes de México, USA y Canadá. Más de $60,000 pesos en premios y una importante derrama económica para la zona.</w:t>
            </w:r>
          </w:p>
          <w:p w:rsidR="001833A1" w:rsidRDefault="001833A1" w:rsidP="004952FD">
            <w:pPr>
              <w:pStyle w:val="Prrafodelista"/>
              <w:ind w:left="1440"/>
              <w:rPr>
                <w:sz w:val="24"/>
                <w:szCs w:val="24"/>
              </w:rPr>
            </w:pPr>
          </w:p>
          <w:p w:rsidR="001833A1" w:rsidRDefault="001833A1" w:rsidP="001833A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Acompañamos a producción de grabación de video promocional de la </w:t>
            </w:r>
            <w:proofErr w:type="spellStart"/>
            <w:r>
              <w:rPr>
                <w:sz w:val="24"/>
                <w:szCs w:val="24"/>
              </w:rPr>
              <w:t>Costalegre</w:t>
            </w:r>
            <w:proofErr w:type="spellEnd"/>
            <w:r>
              <w:rPr>
                <w:sz w:val="24"/>
                <w:szCs w:val="24"/>
              </w:rPr>
              <w:t>, en la que se hizo un levantamiento fílmico de los principales atractivos turísticos de nuestro municipio. Cabe resaltar que este tipo de producciones no representan costo al municipio.</w:t>
            </w:r>
          </w:p>
          <w:p w:rsidR="001833A1" w:rsidRPr="00A054E1" w:rsidRDefault="001833A1" w:rsidP="004952FD">
            <w:pPr>
              <w:pStyle w:val="Prrafodelista"/>
              <w:rPr>
                <w:sz w:val="24"/>
                <w:szCs w:val="24"/>
              </w:rPr>
            </w:pPr>
          </w:p>
          <w:p w:rsidR="001833A1" w:rsidRDefault="001833A1" w:rsidP="001833A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través de la Dirección de Turismo Religioso de la SECTUR Jalisco del Gobierno del estado, gestionamos un apoyo por $150,000.00 mismo que será invertido en obras que promuevan y embellezcan la arquitectura y resalte de tradiciones religiosas como medio turístico.</w:t>
            </w:r>
          </w:p>
          <w:p w:rsidR="001833A1" w:rsidRPr="00A054E1" w:rsidRDefault="001833A1" w:rsidP="004952FD">
            <w:pPr>
              <w:pStyle w:val="Prrafodelista"/>
              <w:rPr>
                <w:sz w:val="24"/>
                <w:szCs w:val="24"/>
              </w:rPr>
            </w:pPr>
          </w:p>
          <w:p w:rsidR="001833A1" w:rsidRDefault="001833A1" w:rsidP="001833A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 convenio de colaboración del Instituto Tecnológico Superior de Puerto Vallarta “Mario Molina” para el trabajo conjunto, así como abrir oportunidades con dicha institución.</w:t>
            </w:r>
          </w:p>
          <w:p w:rsidR="001833A1" w:rsidRPr="00A054E1" w:rsidRDefault="001833A1" w:rsidP="004952FD">
            <w:pPr>
              <w:pStyle w:val="Prrafodelista"/>
              <w:rPr>
                <w:sz w:val="24"/>
                <w:szCs w:val="24"/>
              </w:rPr>
            </w:pPr>
          </w:p>
          <w:p w:rsidR="001833A1" w:rsidRPr="009B2416" w:rsidRDefault="001833A1" w:rsidP="001833A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420" w:afterAutospacing="0"/>
              <w:jc w:val="both"/>
              <w:rPr>
                <w:rFonts w:asciiTheme="minorHAnsi" w:hAnsiTheme="minorHAnsi" w:cs="Arial"/>
                <w:color w:val="2B2B2B"/>
              </w:rPr>
            </w:pPr>
            <w:r w:rsidRPr="000E6C74">
              <w:rPr>
                <w:rFonts w:asciiTheme="minorHAnsi" w:hAnsiTheme="minorHAnsi"/>
              </w:rPr>
              <w:t xml:space="preserve">Inauguración de “El Mercadito </w:t>
            </w:r>
            <w:proofErr w:type="spellStart"/>
            <w:r w:rsidRPr="000E6C74">
              <w:rPr>
                <w:rFonts w:asciiTheme="minorHAnsi" w:hAnsiTheme="minorHAnsi"/>
              </w:rPr>
              <w:t>Yelapa</w:t>
            </w:r>
            <w:proofErr w:type="spellEnd"/>
            <w:r w:rsidRPr="000E6C74">
              <w:rPr>
                <w:rFonts w:asciiTheme="minorHAnsi" w:hAnsiTheme="minorHAnsi"/>
              </w:rPr>
              <w:t>”</w:t>
            </w:r>
            <w:r w:rsidRPr="000E6C74">
              <w:rPr>
                <w:rFonts w:asciiTheme="minorHAnsi" w:hAnsiTheme="minorHAnsi" w:cs="Arial"/>
                <w:color w:val="2B2B2B"/>
              </w:rPr>
              <w:t xml:space="preserve"> con el objetivo de crear un lugar de encuentro e intercambio, </w:t>
            </w:r>
            <w:r>
              <w:rPr>
                <w:rFonts w:asciiTheme="minorHAnsi" w:hAnsiTheme="minorHAnsi" w:cs="Arial"/>
                <w:color w:val="2B2B2B"/>
              </w:rPr>
              <w:t xml:space="preserve"> que permita</w:t>
            </w:r>
            <w:r w:rsidRPr="000E6C74">
              <w:rPr>
                <w:rFonts w:asciiTheme="minorHAnsi" w:hAnsiTheme="minorHAnsi" w:cs="Arial"/>
                <w:color w:val="2B2B2B"/>
              </w:rPr>
              <w:t xml:space="preserve"> acercar al productor, agricultor o artesano con los habitantes y visitantes, concentrando en un sólo lugar a gente con intereses similares, creando un fuerte espíritu de comunidad y de solidaridad. Y es así que como provienen de productores locales fomenta la productividad y  fortalece la economía local</w:t>
            </w:r>
            <w:r>
              <w:rPr>
                <w:rFonts w:asciiTheme="minorHAnsi" w:hAnsiTheme="minorHAnsi" w:cs="Arial"/>
                <w:color w:val="2B2B2B"/>
              </w:rPr>
              <w:t xml:space="preserve"> así como el turismo. Inauguramos el primer mercadito en la localidad de </w:t>
            </w:r>
            <w:proofErr w:type="spellStart"/>
            <w:r>
              <w:rPr>
                <w:rFonts w:asciiTheme="minorHAnsi" w:hAnsiTheme="minorHAnsi" w:cs="Arial"/>
                <w:color w:val="2B2B2B"/>
              </w:rPr>
              <w:t>Yelapa</w:t>
            </w:r>
            <w:proofErr w:type="spellEnd"/>
            <w:r>
              <w:rPr>
                <w:rFonts w:asciiTheme="minorHAnsi" w:hAnsiTheme="minorHAnsi" w:cs="Arial"/>
                <w:color w:val="2B2B2B"/>
              </w:rPr>
              <w:t xml:space="preserve"> con más de 25 locatarios.</w:t>
            </w:r>
          </w:p>
          <w:p w:rsidR="001833A1" w:rsidRDefault="001833A1" w:rsidP="004952FD">
            <w:pPr>
              <w:pStyle w:val="Prrafodelista"/>
              <w:ind w:left="1440"/>
              <w:rPr>
                <w:sz w:val="24"/>
                <w:szCs w:val="24"/>
              </w:rPr>
            </w:pPr>
          </w:p>
          <w:p w:rsidR="001833A1" w:rsidRPr="001D2450" w:rsidRDefault="001833A1" w:rsidP="004952FD">
            <w:pPr>
              <w:pStyle w:val="Prrafodelista"/>
              <w:ind w:left="1440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3A1" w:rsidRDefault="001833A1" w:rsidP="001833A1">
      <w:pPr>
        <w:jc w:val="center"/>
        <w:rPr>
          <w:sz w:val="24"/>
          <w:szCs w:val="24"/>
        </w:rPr>
      </w:pPr>
    </w:p>
    <w:p w:rsidR="00616A52" w:rsidRDefault="00616A52">
      <w:bookmarkStart w:id="0" w:name="_GoBack"/>
      <w:bookmarkEnd w:id="0"/>
    </w:p>
    <w:sectPr w:rsidR="00616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4FEE"/>
    <w:multiLevelType w:val="hybridMultilevel"/>
    <w:tmpl w:val="F2D456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0697C"/>
    <w:multiLevelType w:val="hybridMultilevel"/>
    <w:tmpl w:val="E8E43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A1"/>
    <w:rsid w:val="001833A1"/>
    <w:rsid w:val="0061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017D8-AFB1-4562-8EB6-B3C745B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3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de Informatica</dc:creator>
  <cp:keywords/>
  <dc:description/>
  <cp:lastModifiedBy>Dpto. de Informatica</cp:lastModifiedBy>
  <cp:revision>1</cp:revision>
  <dcterms:created xsi:type="dcterms:W3CDTF">2021-03-01T16:11:00Z</dcterms:created>
  <dcterms:modified xsi:type="dcterms:W3CDTF">2021-03-01T16:12:00Z</dcterms:modified>
</cp:coreProperties>
</file>